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 xml:space="preserve">Получен номер на обявлението </w:t>
      </w:r>
      <w:r>
        <w:rPr>
          <w:color w:val="000000"/>
          <w:spacing w:val="0"/>
          <w:w w:val="100"/>
          <w:position w:val="0"/>
          <w:sz w:val="24"/>
          <w:szCs w:val="24"/>
          <w:shd w:val="clear" w:color="auto" w:fill="auto"/>
          <w:lang w:val="bg-BG" w:eastAsia="bg-BG" w:bidi="bg-BG"/>
        </w:rPr>
        <w:t>981732</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 xml:space="preserve">Номер на обявлението в ОВ </w:t>
      </w:r>
      <w:r>
        <w:rPr>
          <w:b/>
          <w:bCs/>
          <w:color w:val="000000"/>
          <w:spacing w:val="0"/>
          <w:w w:val="100"/>
          <w:position w:val="0"/>
          <w:sz w:val="24"/>
          <w:szCs w:val="24"/>
          <w:shd w:val="clear" w:color="auto" w:fill="auto"/>
          <w:lang w:val="en-GB" w:eastAsia="en-GB" w:bidi="en-GB"/>
        </w:rPr>
        <w:t>S:</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2020/S </w:t>
      </w:r>
      <w:r>
        <w:rPr>
          <w:color w:val="000000"/>
          <w:spacing w:val="0"/>
          <w:w w:val="100"/>
          <w:position w:val="0"/>
          <w:sz w:val="24"/>
          <w:szCs w:val="24"/>
          <w:shd w:val="clear" w:color="auto" w:fill="auto"/>
          <w:lang w:val="bg-BG" w:eastAsia="bg-BG" w:bidi="bg-BG"/>
        </w:rPr>
        <w:t>113-274567</w:t>
      </w:r>
    </w:p>
    <w:p>
      <w:pPr>
        <w:pStyle w:val="Style8"/>
        <w:keepNext/>
        <w:keepLines/>
        <w:widowControl w:val="0"/>
        <w:shd w:val="clear" w:color="auto" w:fill="auto"/>
        <w:bidi w:val="0"/>
        <w:spacing w:before="0" w:after="0"/>
        <w:ind w:left="0" w:right="0" w:firstLine="0"/>
        <w:jc w:val="left"/>
      </w:pPr>
      <w:bookmarkStart w:id="2" w:name="bookmark2"/>
      <w:bookmarkStart w:id="3" w:name="bookmark3"/>
      <w:r>
        <w:rPr>
          <w:color w:val="000000"/>
          <w:spacing w:val="0"/>
          <w:w w:val="100"/>
          <w:position w:val="0"/>
          <w:sz w:val="24"/>
          <w:szCs w:val="24"/>
          <w:shd w:val="clear" w:color="auto" w:fill="auto"/>
          <w:lang w:val="en-GB" w:eastAsia="en-GB" w:bidi="en-GB"/>
        </w:rPr>
        <w:t>OJS URL</w:t>
      </w:r>
      <w:bookmarkEnd w:id="2"/>
      <w:bookmarkEnd w:id="3"/>
    </w:p>
    <w:p>
      <w:pPr>
        <w:pStyle w:val="Style11"/>
        <w:keepNext w:val="0"/>
        <w:keepLines w:val="0"/>
        <w:widowControl w:val="0"/>
        <w:shd w:val="clear" w:color="auto" w:fill="auto"/>
        <w:bidi w:val="0"/>
        <w:spacing w:before="0" w:after="336"/>
        <w:ind w:left="0" w:right="0" w:firstLine="0"/>
        <w:jc w:val="left"/>
      </w:pPr>
      <w:r>
        <w:rPr>
          <w:b/>
          <w:bCs/>
          <w:color w:val="000000"/>
          <w:spacing w:val="0"/>
          <w:w w:val="100"/>
          <w:position w:val="0"/>
          <w:sz w:val="24"/>
          <w:szCs w:val="24"/>
          <w:shd w:val="clear" w:color="auto" w:fill="auto"/>
          <w:lang w:val="bg-BG" w:eastAsia="bg-BG" w:bidi="bg-BG"/>
        </w:rPr>
        <w:t xml:space="preserve">Публикация в РОП </w:t>
      </w:r>
      <w:r>
        <w:rPr>
          <w:color w:val="000000"/>
          <w:spacing w:val="0"/>
          <w:w w:val="100"/>
          <w:position w:val="0"/>
          <w:sz w:val="24"/>
          <w:szCs w:val="24"/>
          <w:shd w:val="clear" w:color="auto" w:fill="auto"/>
          <w:lang w:val="bg-BG" w:eastAsia="bg-BG" w:bidi="bg-BG"/>
        </w:rPr>
        <w:t>00610-2020-0007 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both"/>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both"/>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 xml:space="preserve">Вид процедура </w:t>
      </w:r>
      <w:r>
        <w:rPr>
          <w:color w:val="000000"/>
          <w:spacing w:val="0"/>
          <w:w w:val="100"/>
          <w:position w:val="0"/>
          <w:sz w:val="24"/>
          <w:szCs w:val="24"/>
          <w:shd w:val="clear" w:color="auto" w:fill="auto"/>
          <w:lang w:val="bg-BG" w:eastAsia="bg-BG" w:bidi="bg-BG"/>
        </w:rPr>
        <w:t xml:space="preserve">Открита процедура </w:t>
      </w:r>
      <w:r>
        <w:rPr>
          <w:b/>
          <w:bCs/>
          <w:color w:val="000000"/>
          <w:spacing w:val="0"/>
          <w:w w:val="100"/>
          <w:position w:val="0"/>
          <w:sz w:val="24"/>
          <w:szCs w:val="24"/>
          <w:shd w:val="clear" w:color="auto" w:fill="auto"/>
          <w:lang w:val="bg-BG" w:eastAsia="bg-BG" w:bidi="bg-BG"/>
        </w:rPr>
        <w:t xml:space="preserve">Наименование: </w:t>
      </w:r>
      <w:r>
        <w:rPr>
          <w:color w:val="000000"/>
          <w:spacing w:val="0"/>
          <w:w w:val="100"/>
          <w:position w:val="0"/>
          <w:sz w:val="24"/>
          <w:szCs w:val="24"/>
          <w:shd w:val="clear" w:color="auto" w:fill="auto"/>
          <w:lang w:val="bg-BG" w:eastAsia="bg-BG" w:bidi="bg-BG"/>
        </w:rPr>
        <w:t>Изграждане на механизъм за измерване и наблюдение на параметрите за качество на услугата за достъп до интернет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540"/>
        <w:ind w:left="0" w:right="0" w:firstLine="0"/>
        <w:jc w:val="left"/>
      </w:pPr>
      <w:r>
        <w:rPr>
          <w:color w:val="000000"/>
          <w:spacing w:val="0"/>
          <w:w w:val="100"/>
          <w:position w:val="0"/>
          <w:sz w:val="24"/>
          <w:szCs w:val="24"/>
          <w:shd w:val="clear" w:color="auto" w:fill="auto"/>
          <w:lang w:val="bg-BG" w:eastAsia="bg-BG" w:bidi="bg-BG"/>
        </w:rPr>
        <w:t xml:space="preserve">Предметът на настоящото възлагане е Обособена позиция 1 от обществената поръчка, която се явява Дейност 1: „Изграждане на механизъм за измерване и наблюдение на параметрите за качество на услугата достъп до интернет“ от проекта на КРС „Изграждане и развитие на информационните системи и регистри на КРС за подобряване на дейностите по регулиране и контрол и повишаване на качеството на административното обслужване“, който ще бъде реализиран финансиран по Оперативна програма „Добро управление“ (ОПДУ) - процедура </w:t>
      </w:r>
      <w:r>
        <w:rPr>
          <w:color w:val="000000"/>
          <w:spacing w:val="0"/>
          <w:w w:val="100"/>
          <w:position w:val="0"/>
          <w:sz w:val="24"/>
          <w:szCs w:val="24"/>
          <w:shd w:val="clear" w:color="auto" w:fill="auto"/>
          <w:lang w:val="en-GB" w:eastAsia="en-GB" w:bidi="en-GB"/>
        </w:rPr>
        <w:t xml:space="preserve">BG05SFOP001-1.010. </w:t>
      </w:r>
      <w:r>
        <w:rPr>
          <w:color w:val="000000"/>
          <w:spacing w:val="0"/>
          <w:w w:val="100"/>
          <w:position w:val="0"/>
          <w:sz w:val="24"/>
          <w:szCs w:val="24"/>
          <w:shd w:val="clear" w:color="auto" w:fill="auto"/>
          <w:lang w:val="bg-BG" w:eastAsia="bg-BG" w:bidi="bg-BG"/>
        </w:rPr>
        <w:t xml:space="preserve">В изпълнение на предмета на настоящата поръчка следва да се изгради механизъм за измерване и наблюдение на параметрите за качество на услугата за достъп до интернет (УДИ), да се реализира публична електронна услуга за извършване на измервания, вътрешна електронна административна услуга (ЕАУ) за предоставяне на справки от измерванията за качество на услугите и справки за регулаторните нужди на КРС. </w:t>
      </w: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4" w:name="bookmark4"/>
      <w:bookmarkStart w:id="5" w:name="bookmark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4"/>
      <w:bookmarkEnd w:id="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both"/>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2"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7"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7"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3"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en-GB" w:eastAsia="en-GB" w:bidi="en-GB"/>
        </w:rPr>
        <w:t xml:space="preserve">• </w:t>
      </w: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1"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pBdr>
          <w:top w:val="single" w:sz="4" w:space="0" w:color="auto"/>
        </w:pBdr>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28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240"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left"/>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60" w:line="331" w:lineRule="auto"/>
        <w:ind w:left="0" w:right="0" w:firstLine="0"/>
        <w:jc w:val="both"/>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line="331" w:lineRule="auto"/>
        <w:ind w:left="0" w:right="0" w:firstLine="0"/>
        <w:jc w:val="both"/>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0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40" w:line="240" w:lineRule="auto"/>
        <w:ind w:left="0" w:right="0" w:firstLine="0"/>
        <w:jc w:val="both"/>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both"/>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III.</w:t>
      </w:r>
    </w:p>
    <w:p>
      <w:pPr>
        <w:pStyle w:val="Style11"/>
        <w:keepNext w:val="0"/>
        <w:keepLines w:val="0"/>
        <w:widowControl w:val="0"/>
        <w:shd w:val="clear" w:color="auto" w:fill="auto"/>
        <w:bidi w:val="0"/>
        <w:spacing w:before="0" w:after="0"/>
        <w:ind w:left="500" w:right="0" w:firstLine="0"/>
        <w:jc w:val="left"/>
      </w:pP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576"/>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11"/>
        <w:keepNext w:val="0"/>
        <w:keepLines w:val="0"/>
        <w:widowControl w:val="0"/>
        <w:pBdr>
          <w:top w:val="single" w:sz="0" w:space="1" w:color="0466A3"/>
          <w:left w:val="single" w:sz="0" w:space="0" w:color="0466A3"/>
          <w:bottom w:val="single" w:sz="0" w:space="3" w:color="0466A3"/>
          <w:right w:val="single" w:sz="0" w:space="0" w:color="0466A3"/>
        </w:pBdr>
        <w:shd w:val="clear" w:color="auto" w:fill="0466A3"/>
        <w:bidi w:val="0"/>
        <w:spacing w:before="0" w:after="282" w:line="334" w:lineRule="auto"/>
        <w:ind w:left="0" w:right="0" w:firstLine="0"/>
        <w:jc w:val="left"/>
      </w:pPr>
      <w:r>
        <w:rPr>
          <w:b/>
          <w:bCs/>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6" w:name="bookmark6"/>
      <w:bookmarkStart w:id="7" w:name="bookmark7"/>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6"/>
      <w:bookmarkEnd w:id="7"/>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18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8" w:name="bookmark8"/>
      <w:bookmarkStart w:id="9" w:name="bookmark9"/>
      <w:r>
        <w:rPr>
          <w:color w:val="000000"/>
          <w:spacing w:val="0"/>
          <w:w w:val="100"/>
          <w:position w:val="0"/>
          <w:sz w:val="24"/>
          <w:szCs w:val="24"/>
          <w:shd w:val="clear" w:color="auto" w:fill="auto"/>
          <w:lang w:val="bg-BG" w:eastAsia="bg-BG" w:bidi="bg-BG"/>
        </w:rPr>
        <w:t>Корупция</w:t>
      </w:r>
      <w:bookmarkEnd w:id="8"/>
      <w:bookmarkEnd w:id="9"/>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41" w:lineRule="auto"/>
        <w:ind w:left="0" w:right="0" w:firstLine="0"/>
        <w:jc w:val="left"/>
      </w:pPr>
      <w:bookmarkStart w:id="10" w:name="bookmark10"/>
      <w:bookmarkStart w:id="11" w:name="bookmark11"/>
      <w:r>
        <w:rPr>
          <w:color w:val="000000"/>
          <w:spacing w:val="0"/>
          <w:w w:val="100"/>
          <w:position w:val="0"/>
          <w:sz w:val="24"/>
          <w:szCs w:val="24"/>
          <w:shd w:val="clear" w:color="auto" w:fill="auto"/>
          <w:lang w:val="bg-BG" w:eastAsia="bg-BG" w:bidi="bg-BG"/>
        </w:rPr>
        <w:t>Измама</w:t>
      </w:r>
      <w:bookmarkEnd w:id="10"/>
      <w:bookmarkEnd w:id="11"/>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2"/>
      <w:bookmarkEnd w:id="13"/>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 xml:space="preserve">164, 22.6.2002 г., стр. 3). Това основание за </w:t>
      </w:r>
      <w:r>
        <w:rPr>
          <w:color w:val="000000"/>
          <w:spacing w:val="0"/>
          <w:w w:val="100"/>
          <w:position w:val="0"/>
          <w:sz w:val="24"/>
          <w:szCs w:val="24"/>
          <w:shd w:val="clear" w:color="auto" w:fill="auto"/>
          <w:lang w:val="bg-BG" w:eastAsia="bg-BG" w:bidi="bg-BG"/>
        </w:rPr>
        <w:t>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4"/>
      <w:bookmarkEnd w:id="15"/>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Детски труд и други форми на трафик на хора</w:t>
      </w:r>
      <w:bookmarkEnd w:id="16"/>
      <w:bookmarkEnd w:id="17"/>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8"/>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Плащане на данъци</w:t>
      </w:r>
      <w:bookmarkEnd w:id="18"/>
      <w:bookmarkEnd w:id="19"/>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данъци, както в страната, в която е установен, така и в държавата членка на възлагащия орган или възложителя, ако е различна от държавата на установяване?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Размер на съответната сума</w:t>
      </w:r>
      <w:bookmarkEnd w:id="20"/>
      <w:bookmarkEnd w:id="2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Опишете използваните средства.</w:t>
      </w:r>
      <w:bookmarkEnd w:id="22"/>
      <w:bookmarkEnd w:id="2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4"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4"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4"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Плащане на социалноосигурителни вноски</w:t>
      </w:r>
      <w:bookmarkEnd w:id="24"/>
      <w:bookmarkEnd w:id="25"/>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4"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Размер на съответната сума</w:t>
      </w:r>
      <w:bookmarkEnd w:id="26"/>
      <w:bookmarkEnd w:id="27"/>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440" w:line="240"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Опишете използваните средства.</w:t>
      </w:r>
      <w:bookmarkEnd w:id="28"/>
      <w:bookmarkEnd w:id="29"/>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80" w:line="343"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32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8"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8" w:lineRule="auto"/>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40" w:line="338" w:lineRule="auto"/>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0"/>
      <w:bookmarkEnd w:id="31"/>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Тежко професионално нарушение</w:t>
      </w:r>
      <w:bookmarkEnd w:id="32"/>
      <w:bookmarkEnd w:id="33"/>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4"/>
      <w:bookmarkEnd w:id="3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36"/>
      <w:bookmarkEnd w:id="37"/>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38"/>
      <w:bookmarkEnd w:id="39"/>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after="8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z w:val="24"/>
          <w:szCs w:val="24"/>
          <w:shd w:val="clear" w:color="auto" w:fill="auto"/>
          <w:lang w:val="bg-BG" w:eastAsia="bg-BG" w:bidi="bg-BG"/>
        </w:rPr>
        <w:t>Други основания за изключване, които може да бъдат предвидени в националното законодателство на държавата членка на възлагащия орган 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07" w:line="240" w:lineRule="auto"/>
        <w:ind w:left="0" w:right="0" w:firstLine="0"/>
        <w:jc w:val="left"/>
      </w:pPr>
      <w:bookmarkStart w:id="40" w:name="bookmark40"/>
      <w:bookmarkStart w:id="41" w:name="bookmark41"/>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0"/>
      <w:bookmarkEnd w:id="41"/>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Б: Икономическо и финансово състояние</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В член 58, параграф 3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Общ годишен оборот</w:t>
      </w:r>
    </w:p>
    <w:p>
      <w:pPr>
        <w:pStyle w:val="Style11"/>
        <w:keepNext w:val="0"/>
        <w:keepLines w:val="0"/>
        <w:widowControl w:val="0"/>
        <w:shd w:val="clear" w:color="auto" w:fill="auto"/>
        <w:bidi w:val="0"/>
        <w:spacing w:before="0" w:after="420" w:line="334" w:lineRule="auto"/>
        <w:ind w:left="0" w:right="0" w:firstLine="0"/>
        <w:jc w:val="left"/>
      </w:pPr>
      <w:r>
        <w:rPr>
          <w:color w:val="000000"/>
          <w:spacing w:val="0"/>
          <w:w w:val="100"/>
          <w:position w:val="0"/>
          <w:sz w:val="24"/>
          <w:szCs w:val="24"/>
          <w:shd w:val="clear" w:color="auto" w:fill="auto"/>
          <w:lang w:val="bg-BG" w:eastAsia="bg-BG" w:bidi="bg-BG"/>
        </w:rPr>
        <w:t>Неговият общ годишен оборот за броя финансови години, изисквани в съответното обявление, в документацията за обществената поръчка или в ЕЕДОП, е, както следва:</w:t>
      </w:r>
    </w:p>
    <w:p>
      <w:pPr>
        <w:pStyle w:val="Style11"/>
        <w:keepNext w:val="0"/>
        <w:keepLines w:val="0"/>
        <w:widowControl w:val="0"/>
        <w:shd w:val="clear" w:color="auto" w:fill="auto"/>
        <w:bidi w:val="0"/>
        <w:spacing w:before="0" w:after="720" w:line="334"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00" w:line="334"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32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00" w:line="346"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880" w:line="346"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42" w:name="bookmark42"/>
      <w:bookmarkStart w:id="43" w:name="bookmark43"/>
      <w:r>
        <w:rPr>
          <w:color w:val="000000"/>
          <w:spacing w:val="0"/>
          <w:w w:val="100"/>
          <w:position w:val="0"/>
          <w:sz w:val="24"/>
          <w:szCs w:val="24"/>
          <w:shd w:val="clear" w:color="auto" w:fill="auto"/>
          <w:lang w:val="bg-BG" w:eastAsia="bg-BG" w:bidi="bg-BG"/>
        </w:rPr>
        <w:t>Конкретен годишен оборот</w:t>
      </w:r>
      <w:bookmarkEnd w:id="42"/>
      <w:bookmarkEnd w:id="43"/>
    </w:p>
    <w:p>
      <w:pPr>
        <w:pStyle w:val="Style11"/>
        <w:keepNext w:val="0"/>
        <w:keepLines w:val="0"/>
        <w:widowControl w:val="0"/>
        <w:shd w:val="clear" w:color="auto" w:fill="auto"/>
        <w:bidi w:val="0"/>
        <w:spacing w:before="0" w:after="420"/>
        <w:ind w:left="0" w:right="0" w:firstLine="0"/>
        <w:jc w:val="left"/>
      </w:pPr>
      <w:r>
        <w:rPr>
          <w:color w:val="000000"/>
          <w:spacing w:val="0"/>
          <w:w w:val="100"/>
          <w:position w:val="0"/>
          <w:sz w:val="24"/>
          <w:szCs w:val="24"/>
          <w:shd w:val="clear" w:color="auto" w:fill="auto"/>
          <w:lang w:val="bg-BG" w:eastAsia="bg-BG" w:bidi="bg-BG"/>
        </w:rPr>
        <w:t>Неговият конкретен годишен оборот в стопанската област, обхваната от поръчката, за изисквания брой финансови години съгласно обявлението, документацията за обществената поръчка или ЕЕДОП е, както следва:</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20"/>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both"/>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both"/>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20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8"/>
        <w:keepNext/>
        <w:keepLines/>
        <w:widowControl w:val="0"/>
        <w:shd w:val="clear" w:color="auto" w:fill="auto"/>
        <w:bidi w:val="0"/>
        <w:spacing w:before="0" w:after="1000" w:line="240" w:lineRule="auto"/>
        <w:ind w:left="0" w:right="0" w:firstLine="0"/>
        <w:jc w:val="left"/>
      </w:pPr>
      <w:bookmarkStart w:id="44" w:name="bookmark44"/>
      <w:bookmarkStart w:id="45" w:name="bookmark45"/>
      <w:r>
        <w:rPr>
          <w:color w:val="000000"/>
          <w:spacing w:val="0"/>
          <w:w w:val="100"/>
          <w:position w:val="0"/>
          <w:sz w:val="24"/>
          <w:szCs w:val="24"/>
          <w:shd w:val="clear" w:color="auto" w:fill="auto"/>
          <w:lang w:val="bg-BG" w:eastAsia="bg-BG" w:bidi="bg-BG"/>
        </w:rPr>
        <w:t>Крайна дата</w:t>
      </w:r>
      <w:bookmarkEnd w:id="44"/>
      <w:bookmarkEnd w:id="45"/>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67"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Технически и професионални способности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58, параграф 4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За поръчки за услуги: извършени услуги от конкретния вид</w:t>
      </w:r>
    </w:p>
    <w:p>
      <w:pPr>
        <w:pStyle w:val="Style11"/>
        <w:keepNext w:val="0"/>
        <w:keepLines w:val="0"/>
        <w:widowControl w:val="0"/>
        <w:shd w:val="clear" w:color="auto" w:fill="auto"/>
        <w:bidi w:val="0"/>
        <w:spacing w:before="0" w:after="560" w:line="331" w:lineRule="auto"/>
        <w:ind w:left="0" w:right="0" w:firstLine="0"/>
        <w:jc w:val="left"/>
      </w:pPr>
      <w:r>
        <w:rPr>
          <w:color w:val="000000"/>
          <w:spacing w:val="0"/>
          <w:w w:val="100"/>
          <w:position w:val="0"/>
          <w:sz w:val="24"/>
          <w:szCs w:val="24"/>
          <w:shd w:val="clear" w:color="auto" w:fill="auto"/>
          <w:lang w:val="bg-BG" w:eastAsia="bg-BG" w:bidi="bg-BG"/>
        </w:rPr>
        <w:t>Само за обществени поръчки за услуги: През референтния период икономическият оператор е предоставил следните основни услуги от конкретния вид. Възлагащите органи могат да изискат наличието на опит до три години и да приемат опит отпреди повече от три години.</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bg-BG" w:eastAsia="bg-BG" w:bidi="bg-BG"/>
        </w:rPr>
        <w:t>Описание</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8"/>
        <w:keepNext/>
        <w:keepLines/>
        <w:widowControl w:val="0"/>
        <w:shd w:val="clear" w:color="auto" w:fill="auto"/>
        <w:bidi w:val="0"/>
        <w:spacing w:before="0" w:after="1180" w:line="240" w:lineRule="auto"/>
        <w:ind w:left="0" w:right="0" w:firstLine="0"/>
        <w:jc w:val="left"/>
      </w:pPr>
      <w:bookmarkStart w:id="46" w:name="bookmark46"/>
      <w:bookmarkStart w:id="47" w:name="bookmark47"/>
      <w:r>
        <w:rPr>
          <w:color w:val="000000"/>
          <w:spacing w:val="0"/>
          <w:w w:val="100"/>
          <w:position w:val="0"/>
          <w:sz w:val="24"/>
          <w:szCs w:val="24"/>
          <w:shd w:val="clear" w:color="auto" w:fill="auto"/>
          <w:lang w:val="bg-BG" w:eastAsia="bg-BG" w:bidi="bg-BG"/>
        </w:rPr>
        <w:t>Получатели</w:t>
      </w:r>
      <w:bookmarkEnd w:id="46"/>
      <w:bookmarkEnd w:id="47"/>
    </w:p>
    <w:p>
      <w:pPr>
        <w:pStyle w:val="Style11"/>
        <w:keepNext w:val="0"/>
        <w:keepLines w:val="0"/>
        <w:widowControl w:val="0"/>
        <w:pBdr>
          <w:top w:val="single" w:sz="4" w:space="0" w:color="auto"/>
        </w:pBdr>
        <w:shd w:val="clear" w:color="auto" w:fill="auto"/>
        <w:bidi w:val="0"/>
        <w:spacing w:before="0" w:after="0" w:line="319" w:lineRule="auto"/>
        <w:ind w:left="26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26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260"/>
        <w:jc w:val="left"/>
      </w:pPr>
      <w:bookmarkStart w:id="48" w:name="bookmark48"/>
      <w:bookmarkStart w:id="49" w:name="bookmark49"/>
      <w:r>
        <w:rPr>
          <w:color w:val="000000"/>
          <w:spacing w:val="0"/>
          <w:w w:val="100"/>
          <w:position w:val="0"/>
          <w:sz w:val="24"/>
          <w:szCs w:val="24"/>
          <w:shd w:val="clear" w:color="auto" w:fill="auto"/>
          <w:lang w:val="bg-BG" w:eastAsia="bg-BG" w:bidi="bg-BG"/>
        </w:rPr>
        <w:t>Образователна и професионална квалификация</w:t>
      </w:r>
      <w:bookmarkEnd w:id="48"/>
      <w:bookmarkEnd w:id="49"/>
    </w:p>
    <w:p>
      <w:pPr>
        <w:pStyle w:val="Style11"/>
        <w:keepNext w:val="0"/>
        <w:keepLines w:val="0"/>
        <w:widowControl w:val="0"/>
        <w:shd w:val="clear" w:color="auto" w:fill="auto"/>
        <w:bidi w:val="0"/>
        <w:spacing w:before="0" w:after="80"/>
        <w:ind w:left="260" w:right="0" w:firstLine="0"/>
        <w:jc w:val="left"/>
      </w:pPr>
      <w:r>
        <w:rPr>
          <w:color w:val="000000"/>
          <w:spacing w:val="0"/>
          <w:w w:val="100"/>
          <w:position w:val="0"/>
          <w:sz w:val="24"/>
          <w:szCs w:val="24"/>
          <w:shd w:val="clear" w:color="auto" w:fill="auto"/>
          <w:lang w:val="bg-BG" w:eastAsia="bg-BG" w:bidi="bg-BG"/>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pPr>
        <w:pStyle w:val="Style11"/>
        <w:keepNext w:val="0"/>
        <w:keepLines w:val="0"/>
        <w:widowControl w:val="0"/>
        <w:shd w:val="clear" w:color="auto" w:fill="auto"/>
        <w:bidi w:val="0"/>
        <w:spacing w:before="0" w:after="720"/>
        <w:ind w:left="26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24" w:lineRule="auto"/>
        <w:ind w:left="26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26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26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00" w:line="350" w:lineRule="auto"/>
        <w:ind w:left="0" w:right="0" w:firstLine="26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50" w:name="bookmark50"/>
      <w:bookmarkStart w:id="51" w:name="bookmark51"/>
      <w:r>
        <w:rPr>
          <w:color w:val="000000"/>
          <w:spacing w:val="0"/>
          <w:w w:val="100"/>
          <w:position w:val="0"/>
          <w:shd w:val="clear" w:color="auto" w:fill="auto"/>
          <w:lang w:val="bg-BG" w:eastAsia="bg-BG" w:bidi="bg-BG"/>
        </w:rPr>
        <w:t>Край</w:t>
      </w:r>
      <w:bookmarkEnd w:id="50"/>
      <w:bookmarkEnd w:id="51"/>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52" w:name="bookmark52"/>
      <w:bookmarkStart w:id="53" w:name="bookmark53"/>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52"/>
      <w:bookmarkEnd w:id="5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 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 xml:space="preserve">б) 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Дата, място и — когато се изисква или е необходимо — подпис(и):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460"/>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455" w:left="1000" w:right="1121" w:bottom="800" w:header="2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3740785</wp:posOffset>
              </wp:positionH>
              <wp:positionV relativeFrom="page">
                <wp:posOffset>9613900</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55000000000001pt;margin-top:757.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46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6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